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Pr="00E7051C" w:rsidRDefault="00BB6533" w:rsidP="00260298">
      <w:pPr>
        <w:tabs>
          <w:tab w:val="num" w:pos="0"/>
        </w:tabs>
        <w:spacing w:before="120" w:after="120" w:line="280" w:lineRule="atLeast"/>
        <w:contextualSpacing/>
        <w:rPr>
          <w:rFonts w:ascii="Tahoma" w:hAnsi="Tahoma" w:cs="Tahoma"/>
          <w:lang w:eastAsia="en-US"/>
        </w:rPr>
      </w:pPr>
    </w:p>
    <w:p w:rsidR="008305FB" w:rsidRPr="00E7051C" w:rsidRDefault="008305FB" w:rsidP="00813CB3">
      <w:pPr>
        <w:tabs>
          <w:tab w:val="num" w:pos="0"/>
        </w:tabs>
        <w:spacing w:before="120" w:after="120" w:line="280" w:lineRule="atLeast"/>
        <w:rPr>
          <w:rFonts w:ascii="Tahoma" w:hAnsi="Tahoma" w:cs="Tahoma"/>
          <w:lang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πρωτ.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w:t>
      </w:r>
      <w:r w:rsidRPr="00FF577A">
        <w:rPr>
          <w:rFonts w:ascii="Tahoma" w:hAnsi="Tahoma" w:cs="Tahoma"/>
        </w:rPr>
        <w:lastRenderedPageBreak/>
        <w:t>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……………(ΦΕΚ…../τ.Β)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με αρ. πρωτ.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Pr="00E7051C" w:rsidRDefault="00172E05" w:rsidP="00813CB3">
      <w:pPr>
        <w:spacing w:before="120" w:after="120" w:line="280" w:lineRule="atLeast"/>
        <w:jc w:val="center"/>
        <w:outlineLvl w:val="0"/>
        <w:rPr>
          <w:rFonts w:ascii="Tahoma" w:hAnsi="Tahoma" w:cs="Tahoma"/>
          <w:b/>
          <w:bC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826DDB">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Τ</w:t>
      </w:r>
      <w:r w:rsidR="00497269" w:rsidRPr="00FF577A">
        <w:rPr>
          <w:rFonts w:ascii="Tahoma" w:hAnsi="Tahoma" w:cs="Tahoma"/>
          <w:lang w:eastAsia="en-US"/>
        </w:rPr>
        <w:t xml:space="preserve">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με Κωδικό ΟΠΣ ….. στο Επιχειρησιακό Πρόγραμμα «……………………… 2014-2020</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Άξονα Προτεραιότητας</w:t>
      </w:r>
      <w:r w:rsidR="0055672B">
        <w:rPr>
          <w:rFonts w:ascii="Tahoma" w:hAnsi="Tahoma" w:cs="Tahoma"/>
          <w:lang w:eastAsia="en-US"/>
        </w:rPr>
        <w:t xml:space="preserve"> «………………..»</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826DDB" w:rsidP="00813CB3">
      <w:pPr>
        <w:spacing w:before="120" w:after="120" w:line="280" w:lineRule="atLeast"/>
        <w:rPr>
          <w:rFonts w:ascii="Tahoma" w:hAnsi="Tahoma" w:cs="Tahoma"/>
          <w:lang w:eastAsia="en-US"/>
        </w:rPr>
      </w:pPr>
      <w:r>
        <w:rPr>
          <w:rFonts w:ascii="Tahoma" w:hAnsi="Tahoma" w:cs="Tahoma"/>
          <w:lang w:eastAsia="en-US"/>
        </w:rPr>
        <w:t>την Έ</w:t>
      </w:r>
      <w:r w:rsidR="00460CB0" w:rsidRPr="00FF577A">
        <w:rPr>
          <w:rFonts w:ascii="Tahoma" w:hAnsi="Tahoma" w:cs="Tahoma"/>
          <w:lang w:eastAsia="en-US"/>
        </w:rPr>
        <w:t xml:space="preserve">νταξη / </w:t>
      </w:r>
      <w:r>
        <w:rPr>
          <w:rFonts w:ascii="Tahoma" w:hAnsi="Tahoma" w:cs="Tahoma"/>
          <w:lang w:eastAsia="en-US"/>
        </w:rPr>
        <w:t>Τ</w:t>
      </w:r>
      <w:r w:rsidR="00460CB0" w:rsidRPr="00FF577A">
        <w:rPr>
          <w:rFonts w:ascii="Tahoma" w:hAnsi="Tahoma" w:cs="Tahoma"/>
          <w:lang w:eastAsia="en-US"/>
        </w:rPr>
        <w:t>ροποποίηση της Πράξης «…………………………………..»</w:t>
      </w:r>
      <w:r w:rsidR="00AC07C4">
        <w:rPr>
          <w:rFonts w:ascii="Tahoma" w:hAnsi="Tahoma" w:cs="Tahoma"/>
          <w:lang w:eastAsia="en-US"/>
        </w:rPr>
        <w:t xml:space="preserve"> </w:t>
      </w:r>
      <w:r w:rsidR="00AC07C4" w:rsidRPr="00FF577A">
        <w:rPr>
          <w:rFonts w:ascii="Tahoma" w:hAnsi="Tahoma" w:cs="Tahoma"/>
          <w:lang w:eastAsia="en-US"/>
        </w:rPr>
        <w:t>με Κωδικό ΟΠΣ ….. στο</w:t>
      </w:r>
      <w:r w:rsidR="00AC07C4">
        <w:rPr>
          <w:rFonts w:ascii="Tahoma" w:hAnsi="Tahoma" w:cs="Tahoma"/>
          <w:lang w:eastAsia="en-US"/>
        </w:rPr>
        <w:t>/α</w:t>
      </w:r>
      <w:r w:rsidR="00AC07C4" w:rsidRPr="00FF577A">
        <w:rPr>
          <w:rFonts w:ascii="Tahoma" w:hAnsi="Tahoma" w:cs="Tahoma"/>
          <w:lang w:eastAsia="en-US"/>
        </w:rPr>
        <w:t xml:space="preserve"> Επιχειρησιακό</w:t>
      </w:r>
      <w:r w:rsidR="00AC07C4">
        <w:rPr>
          <w:rFonts w:ascii="Tahoma" w:hAnsi="Tahoma" w:cs="Tahoma"/>
          <w:lang w:eastAsia="en-US"/>
        </w:rPr>
        <w:t>/ά</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2014-2020</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rsidR="00FF577A" w:rsidRPr="00E7051C" w:rsidRDefault="00FF577A" w:rsidP="00813CB3">
      <w:pPr>
        <w:spacing w:before="120" w:after="120" w:line="280" w:lineRule="atLeast"/>
        <w:rPr>
          <w:rFonts w:ascii="Tahoma" w:hAnsi="Tahoma" w:cs="Tahoma"/>
          <w:lang w:eastAsia="en-US"/>
        </w:rPr>
      </w:pPr>
    </w:p>
    <w:p w:rsidR="008305FB" w:rsidRPr="00E7051C" w:rsidRDefault="008305FB" w:rsidP="00813CB3">
      <w:pPr>
        <w:spacing w:before="120" w:after="120" w:line="280" w:lineRule="atLeast"/>
        <w:rPr>
          <w:rFonts w:ascii="Tahoma" w:hAnsi="Tahoma" w:cs="Tahoma"/>
          <w:lang w:eastAsia="en-US"/>
        </w:rPr>
      </w:pPr>
    </w:p>
    <w:p w:rsidR="008305FB" w:rsidRPr="00E7051C"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rsidTr="001C5ACF">
        <w:trPr>
          <w:cantSplit/>
        </w:trPr>
        <w:tc>
          <w:tcPr>
            <w:tcW w:w="1135"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rsidTr="001C5ACF">
        <w:trPr>
          <w:cantSplit/>
          <w:trHeight w:val="288"/>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b/>
                <w:sz w:val="18"/>
                <w:szCs w:val="18"/>
              </w:rPr>
            </w:pPr>
          </w:p>
        </w:tc>
        <w:tc>
          <w:tcPr>
            <w:tcW w:w="1842" w:type="dxa"/>
          </w:tcPr>
          <w:p w:rsidR="001C5ACF" w:rsidRPr="00FA7FC6" w:rsidRDefault="001C5ACF" w:rsidP="00AC3A3D">
            <w:pPr>
              <w:rPr>
                <w:rFonts w:ascii="Tahoma" w:hAnsi="Tahoma" w:cs="Tahoma"/>
                <w:b/>
                <w:sz w:val="18"/>
                <w:szCs w:val="18"/>
              </w:rPr>
            </w:pPr>
          </w:p>
        </w:tc>
        <w:tc>
          <w:tcPr>
            <w:tcW w:w="1560" w:type="dxa"/>
          </w:tcPr>
          <w:p w:rsidR="001C5ACF" w:rsidRPr="00FA7FC6" w:rsidRDefault="001C5ACF" w:rsidP="00AC3A3D">
            <w:pPr>
              <w:rPr>
                <w:rFonts w:ascii="Tahoma" w:hAnsi="Tahoma" w:cs="Tahoma"/>
                <w:b/>
                <w:sz w:val="18"/>
                <w:szCs w:val="18"/>
              </w:rPr>
            </w:pPr>
          </w:p>
        </w:tc>
      </w:tr>
      <w:tr w:rsidR="001C5ACF" w:rsidRPr="00FA7FC6" w:rsidTr="001C5ACF">
        <w:trPr>
          <w:cantSplit/>
          <w:trHeight w:val="264"/>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b/>
                <w:sz w:val="18"/>
                <w:szCs w:val="18"/>
              </w:rPr>
            </w:pPr>
          </w:p>
        </w:tc>
        <w:tc>
          <w:tcPr>
            <w:tcW w:w="1842" w:type="dxa"/>
          </w:tcPr>
          <w:p w:rsidR="001C5ACF" w:rsidRPr="00FA7FC6" w:rsidRDefault="001C5ACF" w:rsidP="00AC3A3D">
            <w:pPr>
              <w:rPr>
                <w:rFonts w:ascii="Tahoma" w:hAnsi="Tahoma" w:cs="Tahoma"/>
                <w:b/>
                <w:sz w:val="18"/>
                <w:szCs w:val="18"/>
              </w:rPr>
            </w:pPr>
          </w:p>
        </w:tc>
        <w:tc>
          <w:tcPr>
            <w:tcW w:w="1560" w:type="dxa"/>
          </w:tcPr>
          <w:p w:rsidR="001C5ACF" w:rsidRPr="00FA7FC6" w:rsidRDefault="001C5ACF" w:rsidP="00AC3A3D">
            <w:pPr>
              <w:rPr>
                <w:rFonts w:ascii="Tahoma" w:hAnsi="Tahoma" w:cs="Tahoma"/>
                <w:b/>
                <w:sz w:val="18"/>
                <w:szCs w:val="18"/>
              </w:rPr>
            </w:pPr>
          </w:p>
        </w:tc>
      </w:tr>
      <w:tr w:rsidR="001C5ACF" w:rsidRPr="00FA7FC6" w:rsidTr="001C5ACF">
        <w:trPr>
          <w:cantSplit/>
          <w:trHeight w:val="268"/>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sz w:val="18"/>
                <w:szCs w:val="18"/>
              </w:rPr>
            </w:pPr>
          </w:p>
        </w:tc>
        <w:tc>
          <w:tcPr>
            <w:tcW w:w="1842" w:type="dxa"/>
          </w:tcPr>
          <w:p w:rsidR="001C5ACF" w:rsidRPr="00FA7FC6" w:rsidRDefault="001C5ACF" w:rsidP="00AC3A3D">
            <w:pPr>
              <w:rPr>
                <w:rFonts w:ascii="Tahoma" w:hAnsi="Tahoma" w:cs="Tahoma"/>
                <w:sz w:val="18"/>
                <w:szCs w:val="18"/>
              </w:rPr>
            </w:pPr>
          </w:p>
        </w:tc>
        <w:tc>
          <w:tcPr>
            <w:tcW w:w="1560" w:type="dxa"/>
          </w:tcPr>
          <w:p w:rsidR="001C5ACF" w:rsidRPr="00FA7FC6" w:rsidRDefault="001C5ACF" w:rsidP="00AC3A3D">
            <w:pPr>
              <w:rPr>
                <w:rFonts w:ascii="Tahoma" w:hAnsi="Tahoma" w:cs="Tahoma"/>
                <w:sz w:val="18"/>
                <w:szCs w:val="18"/>
              </w:rPr>
            </w:pPr>
          </w:p>
        </w:tc>
      </w:tr>
    </w:tbl>
    <w:p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rsidTr="0025601B">
        <w:tc>
          <w:tcPr>
            <w:tcW w:w="8472" w:type="dxa"/>
            <w:shd w:val="clear" w:color="auto" w:fill="auto"/>
            <w:vAlign w:val="center"/>
          </w:tcPr>
          <w:p w:rsidR="00F4306A" w:rsidRPr="00FA7FC6" w:rsidRDefault="00F4306A" w:rsidP="0025601B">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Η ημερομηνία έναρξης της Πράξης ορίζεται η ………………….</w:t>
            </w:r>
          </w:p>
          <w:p w:rsidR="00F4306A" w:rsidRPr="0053473C" w:rsidRDefault="00F4306A" w:rsidP="0025601B">
            <w:pPr>
              <w:spacing w:before="120" w:after="120" w:line="280" w:lineRule="exact"/>
              <w:contextualSpacing/>
              <w:jc w:val="both"/>
              <w:rPr>
                <w:rFonts w:ascii="Tahoma" w:hAnsi="Tahoma" w:cs="Tahoma"/>
                <w:i/>
                <w:lang w:eastAsia="en-US"/>
              </w:rPr>
            </w:pP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p>
          <w:p w:rsidR="00F4306A" w:rsidRPr="0053473C" w:rsidRDefault="00F4306A" w:rsidP="0025601B">
            <w:pPr>
              <w:spacing w:before="120" w:after="120" w:line="280" w:lineRule="exact"/>
              <w:contextualSpacing/>
              <w:jc w:val="both"/>
              <w:rPr>
                <w:rFonts w:ascii="Tahoma" w:hAnsi="Tahoma" w:cs="Tahoma"/>
                <w:lang w:eastAsia="en-US"/>
              </w:rPr>
            </w:pP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[Η ολοκλήρωση των υποέργων προπαρασκευαστικών ενεργειών πραγματοποιείται έως …….…………]</w:t>
            </w:r>
          </w:p>
          <w:p w:rsidR="00F4306A" w:rsidRPr="0053473C" w:rsidRDefault="00F4306A" w:rsidP="0025601B">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4306A" w:rsidRPr="0053473C" w:rsidRDefault="00F4306A" w:rsidP="0025601B">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F4306A" w:rsidRPr="0053473C" w:rsidRDefault="00F4306A" w:rsidP="0025601B">
            <w:pPr>
              <w:spacing w:before="120" w:after="120" w:line="280" w:lineRule="exact"/>
              <w:contextualSpacing/>
              <w:jc w:val="both"/>
              <w:rPr>
                <w:rFonts w:ascii="Tahoma" w:hAnsi="Tahoma" w:cs="Tahoma"/>
                <w:lang w:eastAsia="en-US"/>
              </w:rPr>
            </w:pPr>
            <w:r w:rsidRPr="0053473C">
              <w:rPr>
                <w:rFonts w:ascii="Tahoma" w:hAnsi="Tahoma" w:cs="Tahoma"/>
                <w:i/>
                <w:lang w:eastAsia="en-US"/>
              </w:rPr>
              <w:t>(συμπληρώνεται εφόσον η πράξη περιλαμβάνει αντίστοιχα υποέργα)</w:t>
            </w:r>
            <w:r w:rsidRPr="0053473C">
              <w:rPr>
                <w:rFonts w:ascii="Tahoma" w:hAnsi="Tahoma" w:cs="Tahoma"/>
                <w:lang w:eastAsia="en-US"/>
              </w:rPr>
              <w:t xml:space="preserve"> </w:t>
            </w:r>
          </w:p>
        </w:tc>
      </w:tr>
      <w:tr w:rsidR="00F4306A" w:rsidRPr="0053473C" w:rsidTr="0025601B">
        <w:tc>
          <w:tcPr>
            <w:tcW w:w="8472" w:type="dxa"/>
            <w:shd w:val="clear" w:color="auto" w:fill="auto"/>
            <w:vAlign w:val="center"/>
          </w:tcPr>
          <w:p w:rsidR="00F4306A" w:rsidRPr="008949AC" w:rsidRDefault="00F4306A" w:rsidP="0025601B">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 xml:space="preserve">ανάληψη της νομικής δέσμευσης (σύμβαση) του πρώτου κύριου υποέργου πραγματοποιείται έως </w:t>
            </w:r>
            <w:bookmarkEnd w:id="1"/>
            <w:bookmarkEnd w:id="2"/>
            <w:r w:rsidRPr="008949AC">
              <w:rPr>
                <w:rFonts w:ascii="Tahoma" w:hAnsi="Tahoma" w:cs="Tahoma"/>
                <w:lang w:eastAsia="en-US"/>
              </w:rPr>
              <w:t>………………………..</w:t>
            </w:r>
          </w:p>
          <w:p w:rsidR="00F4306A" w:rsidRPr="008949A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(Η ημερομηνία προσδιορίζεται με βάση τον χρονοπρογραμματισμό του δικαιούχου, όπως αυτός αποτυπώνεται στο ΤΔΠ, αφού έχει ληφθεί μέριμνα ώστε να μην προκύπτει υπέρβαση των προθεσμιών του άρθρου 28 του Ν. 4314/2014 και έχει διασφαλιστεί ότι η πράξη θα έχει ολοκληρωθεί εντός της επιλέξιμης περιόδου.</w:t>
            </w:r>
          </w:p>
          <w:p w:rsidR="00F4306A" w:rsidRPr="0053473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-Στην περίπτωση που κατά την αξιολόγηση της πράξης έχει ήδη αναληφθεί η πρώτη νομική δέσμευση κύριου υποέργου, το σημείο 10 διαγράφεται.)</w:t>
            </w:r>
          </w:p>
        </w:tc>
      </w:tr>
    </w:tbl>
    <w:p w:rsidR="00F4306A" w:rsidRDefault="00F4306A" w:rsidP="004F1496">
      <w:pPr>
        <w:spacing w:before="120" w:after="120" w:line="280" w:lineRule="exact"/>
        <w:jc w:val="both"/>
        <w:rPr>
          <w:rFonts w:ascii="Tahoma" w:hAnsi="Tahoma" w:cs="Tahoma"/>
          <w:sz w:val="18"/>
          <w:szCs w:val="18"/>
          <w:lang w:eastAsia="en-US"/>
        </w:rPr>
      </w:pPr>
    </w:p>
    <w:p w:rsidR="00F4306A" w:rsidRDefault="00F4306A" w:rsidP="004F1496">
      <w:pPr>
        <w:spacing w:before="120" w:after="120" w:line="280" w:lineRule="exact"/>
        <w:jc w:val="both"/>
        <w:rPr>
          <w:rFonts w:ascii="Tahoma" w:hAnsi="Tahoma" w:cs="Tahoma"/>
          <w:sz w:val="18"/>
          <w:szCs w:val="18"/>
          <w:lang w:eastAsia="en-US"/>
        </w:rPr>
      </w:pPr>
    </w:p>
    <w:p w:rsidR="00F4306A" w:rsidRDefault="00F4306A" w:rsidP="004F1496">
      <w:pPr>
        <w:spacing w:before="120" w:after="120" w:line="280" w:lineRule="exact"/>
        <w:jc w:val="both"/>
        <w:rPr>
          <w:rFonts w:ascii="Tahoma" w:hAnsi="Tahoma" w:cs="Tahoma"/>
          <w:sz w:val="18"/>
          <w:szCs w:val="18"/>
          <w:lang w:eastAsia="en-US"/>
        </w:rPr>
      </w:pPr>
    </w:p>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719F0" w:rsidRDefault="004719F0" w:rsidP="009B0A65">
      <w:pPr>
        <w:spacing w:before="120" w:after="120" w:line="280" w:lineRule="exact"/>
        <w:rPr>
          <w:rFonts w:ascii="Tahoma" w:hAnsi="Tahoma" w:cs="Tahoma"/>
          <w:sz w:val="18"/>
          <w:szCs w:val="18"/>
        </w:rPr>
      </w:pPr>
    </w:p>
    <w:p w:rsidR="00F4306A" w:rsidRDefault="00F4306A"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rsidTr="00F4306A">
        <w:trPr>
          <w:trHeight w:val="399"/>
        </w:trPr>
        <w:tc>
          <w:tcPr>
            <w:tcW w:w="8472" w:type="dxa"/>
            <w:gridSpan w:val="2"/>
            <w:vAlign w:val="center"/>
          </w:tcPr>
          <w:p w:rsidR="0029018F" w:rsidRPr="00106C8A" w:rsidRDefault="0029018F" w:rsidP="003B7078">
            <w:pPr>
              <w:spacing w:line="264" w:lineRule="auto"/>
              <w:jc w:val="center"/>
              <w:rPr>
                <w:rFonts w:ascii="Tahoma" w:hAnsi="Tahoma" w:cs="Tahoma"/>
                <w:b/>
                <w:sz w:val="16"/>
                <w:szCs w:val="16"/>
                <w:lang w:eastAsia="en-US"/>
              </w:rPr>
            </w:pPr>
            <w:r w:rsidRPr="00106C8A">
              <w:rPr>
                <w:rFonts w:ascii="Tahoma" w:hAnsi="Tahoma" w:cs="Tahoma"/>
                <w:b/>
                <w:sz w:val="16"/>
                <w:szCs w:val="16"/>
                <w:lang w:eastAsia="en-US"/>
              </w:rPr>
              <w:t>ΚΑΤΑΝΟΜΗ ΚΟΣΤΟΥΣ ΠΡΑΞΗΣ</w:t>
            </w:r>
          </w:p>
        </w:tc>
      </w:tr>
      <w:tr w:rsidR="0029018F" w:rsidRPr="009B0A65" w:rsidTr="00F4306A">
        <w:trPr>
          <w:trHeight w:val="405"/>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Pr>
                <w:rFonts w:ascii="Tahoma" w:hAnsi="Tahoma" w:cs="Tahoma"/>
                <w:sz w:val="16"/>
                <w:szCs w:val="16"/>
                <w:lang w:eastAsia="en-US"/>
              </w:rPr>
              <w:t xml:space="preserve">ΣΥΝΟΛΙΚΗ </w:t>
            </w:r>
            <w:r w:rsidRPr="005626E7">
              <w:rPr>
                <w:rFonts w:ascii="Tahoma" w:hAnsi="Tahoma" w:cs="Tahoma"/>
                <w:sz w:val="16"/>
                <w:szCs w:val="16"/>
                <w:lang w:eastAsia="en-US"/>
              </w:rPr>
              <w:t>ΔΗΜΟΣΙΑ ΔΑΠΑΝΗ</w:t>
            </w:r>
          </w:p>
        </w:tc>
        <w:tc>
          <w:tcPr>
            <w:tcW w:w="4253" w:type="dxa"/>
            <w:shd w:val="clear" w:color="auto" w:fill="auto"/>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17"/>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ΙΔΙΩΤΙΚΗ ΣΥΜΜΕΤΟΧΗ</w:t>
            </w:r>
          </w:p>
        </w:tc>
        <w:tc>
          <w:tcPr>
            <w:tcW w:w="4253" w:type="dxa"/>
            <w:shd w:val="clear" w:color="auto" w:fill="auto"/>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10"/>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ΜΗ ΕΝΙΣΧΥΟΜΕΝΟΣ ΠΡΟΫΠΟΛΟΓΙΣΜΟΣ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29"/>
        </w:trPr>
        <w:tc>
          <w:tcPr>
            <w:tcW w:w="4219" w:type="dxa"/>
            <w:vAlign w:val="center"/>
          </w:tcPr>
          <w:p w:rsidR="0029018F" w:rsidRPr="009B0A65" w:rsidRDefault="0029018F" w:rsidP="003B7078">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07"/>
        </w:trPr>
        <w:tc>
          <w:tcPr>
            <w:tcW w:w="4219" w:type="dxa"/>
            <w:vAlign w:val="center"/>
          </w:tcPr>
          <w:p w:rsidR="0029018F" w:rsidRPr="00211B18" w:rsidRDefault="00211B18" w:rsidP="00211B18">
            <w:pPr>
              <w:spacing w:line="264" w:lineRule="auto"/>
              <w:rPr>
                <w:rFonts w:ascii="Tahoma" w:hAnsi="Tahoma" w:cs="Tahoma"/>
                <w:sz w:val="16"/>
                <w:szCs w:val="16"/>
                <w:lang w:eastAsia="en-US"/>
              </w:rPr>
            </w:pPr>
            <w:r>
              <w:rPr>
                <w:rFonts w:ascii="Tahoma" w:hAnsi="Tahoma" w:cs="Tahoma"/>
                <w:sz w:val="16"/>
                <w:szCs w:val="16"/>
                <w:lang w:eastAsia="en-US"/>
              </w:rPr>
              <w:t xml:space="preserve">ΣΥΝΟΛΙΚΗ </w:t>
            </w:r>
            <w:r w:rsidR="0029018F" w:rsidRPr="00211B18">
              <w:rPr>
                <w:rFonts w:ascii="Tahoma" w:hAnsi="Tahoma" w:cs="Tahoma"/>
                <w:sz w:val="16"/>
                <w:szCs w:val="16"/>
                <w:lang w:eastAsia="en-US"/>
              </w:rPr>
              <w:t>ΕΠΙΛΕΞΙΜ</w:t>
            </w:r>
            <w:r w:rsidRPr="00211B18">
              <w:rPr>
                <w:rFonts w:ascii="Tahoma" w:hAnsi="Tahoma" w:cs="Tahoma"/>
                <w:sz w:val="16"/>
                <w:szCs w:val="16"/>
                <w:lang w:eastAsia="en-US"/>
              </w:rPr>
              <w:t>Η ΔΗΜΟΣΙΑ ΔΑΠΑΝΗ</w:t>
            </w:r>
            <w:r w:rsidR="0029018F" w:rsidRPr="00211B18">
              <w:rPr>
                <w:rFonts w:ascii="Tahoma" w:hAnsi="Tahoma" w:cs="Tahoma"/>
                <w:sz w:val="16"/>
                <w:szCs w:val="16"/>
                <w:lang w:eastAsia="en-US"/>
              </w:rPr>
              <w:t xml:space="preserve"> ΠΡΑΞΗΣ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bl>
    <w:p w:rsidR="009B1A03" w:rsidRDefault="009B1A03" w:rsidP="009B0A65">
      <w:pPr>
        <w:spacing w:before="120" w:after="120" w:line="280" w:lineRule="exact"/>
        <w:rPr>
          <w:rFonts w:ascii="Tahoma" w:hAnsi="Tahoma" w:cs="Tahoma"/>
          <w:sz w:val="18"/>
          <w:szCs w:val="18"/>
        </w:rPr>
      </w:pPr>
    </w:p>
    <w:p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F4306A">
        <w:trPr>
          <w:trHeight w:val="341"/>
        </w:trPr>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F4306A">
        <w:trPr>
          <w:trHeight w:val="557"/>
        </w:trPr>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F4306A">
        <w:trPr>
          <w:trHeight w:val="307"/>
        </w:trPr>
        <w:tc>
          <w:tcPr>
            <w:tcW w:w="1985" w:type="dxa"/>
            <w:tcBorders>
              <w:bottom w:val="single" w:sz="4" w:space="0" w:color="auto"/>
            </w:tcBorders>
            <w:vAlign w:val="center"/>
          </w:tcPr>
          <w:p w:rsidR="00E32A32" w:rsidRPr="00A359AB" w:rsidRDefault="00E32A32" w:rsidP="009B0A65">
            <w:pPr>
              <w:spacing w:line="180" w:lineRule="atLeast"/>
              <w:jc w:val="center"/>
              <w:rPr>
                <w:rFonts w:ascii="Tahoma" w:hAnsi="Tahoma" w:cs="Tahoma"/>
                <w:sz w:val="16"/>
                <w:szCs w:val="16"/>
              </w:rPr>
            </w:pPr>
          </w:p>
        </w:tc>
        <w:tc>
          <w:tcPr>
            <w:tcW w:w="4820" w:type="dxa"/>
            <w:vAlign w:val="center"/>
          </w:tcPr>
          <w:p w:rsidR="00E32A32" w:rsidRPr="00A359AB" w:rsidRDefault="00E32A32" w:rsidP="009B0A65">
            <w:pPr>
              <w:spacing w:line="180" w:lineRule="atLeast"/>
              <w:jc w:val="center"/>
              <w:rPr>
                <w:rFonts w:ascii="Tahoma" w:hAnsi="Tahoma" w:cs="Tahoma"/>
                <w:sz w:val="16"/>
                <w:szCs w:val="16"/>
              </w:rPr>
            </w:pPr>
          </w:p>
        </w:tc>
        <w:tc>
          <w:tcPr>
            <w:tcW w:w="1701" w:type="dxa"/>
            <w:vAlign w:val="center"/>
          </w:tcPr>
          <w:p w:rsidR="00E32A32" w:rsidRPr="00A359AB" w:rsidRDefault="00E32A32" w:rsidP="009B0A65">
            <w:pPr>
              <w:spacing w:line="180" w:lineRule="atLeast"/>
              <w:jc w:val="center"/>
              <w:rPr>
                <w:rFonts w:ascii="Tahoma" w:hAnsi="Tahoma" w:cs="Tahoma"/>
                <w:sz w:val="16"/>
                <w:szCs w:val="16"/>
              </w:rPr>
            </w:pPr>
          </w:p>
        </w:tc>
      </w:tr>
      <w:tr w:rsidR="00E32A32" w:rsidRPr="009B0A65" w:rsidTr="00F4306A">
        <w:trPr>
          <w:trHeight w:val="411"/>
        </w:trPr>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F4306A">
        <w:trPr>
          <w:trHeight w:val="416"/>
        </w:trPr>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F4306A">
      <w:pPr>
        <w:numPr>
          <w:ilvl w:val="0"/>
          <w:numId w:val="23"/>
        </w:numPr>
        <w:spacing w:before="36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r w:rsidR="00327C58">
        <w:rPr>
          <w:rFonts w:ascii="Tahoma" w:hAnsi="Tahoma" w:cs="Tahoma"/>
          <w:sz w:val="18"/>
          <w:szCs w:val="18"/>
        </w:rPr>
        <w:t xml:space="preserve"> </w:t>
      </w:r>
      <w:r w:rsidRPr="0021728A">
        <w:rPr>
          <w:rFonts w:ascii="Tahoma" w:hAnsi="Tahoma" w:cs="Tahoma"/>
          <w:sz w:val="18"/>
          <w:szCs w:val="18"/>
        </w:rPr>
        <w:t>€</w:t>
      </w:r>
    </w:p>
    <w:p w:rsidR="009C2E2B" w:rsidRDefault="00C825C5" w:rsidP="00F4306A">
      <w:pPr>
        <w:numPr>
          <w:ilvl w:val="0"/>
          <w:numId w:val="23"/>
        </w:numPr>
        <w:spacing w:before="24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F4306A" w:rsidRDefault="00F4306A">
      <w:pPr>
        <w:rPr>
          <w:rFonts w:ascii="Tahoma" w:hAnsi="Tahoma" w:cs="Tahoma"/>
          <w:sz w:val="18"/>
          <w:szCs w:val="18"/>
        </w:rPr>
      </w:pPr>
      <w:r>
        <w:rPr>
          <w:rFonts w:ascii="Tahoma" w:hAnsi="Tahoma" w:cs="Tahoma"/>
          <w:sz w:val="18"/>
          <w:szCs w:val="18"/>
        </w:rPr>
        <w:br w:type="page"/>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r w:rsidR="00D338FC">
              <w:rPr>
                <w:rFonts w:ascii="Tahoma" w:hAnsi="Tahoma" w:cs="Tahoma"/>
                <w:i/>
                <w:sz w:val="18"/>
                <w:szCs w:val="18"/>
              </w:rPr>
              <w:t>/ ΕΦ</w:t>
            </w:r>
            <w:r>
              <w:rPr>
                <w:rFonts w:ascii="Tahoma" w:hAnsi="Tahoma" w:cs="Tahoma"/>
                <w:i/>
                <w:sz w:val="18"/>
                <w:szCs w:val="18"/>
              </w:rPr>
              <w:t>.</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η ΔΑ</w:t>
            </w:r>
            <w:r w:rsidR="00D338FC">
              <w:rPr>
                <w:rFonts w:ascii="Tahoma" w:hAnsi="Tahoma" w:cs="Tahoma"/>
                <w:i/>
                <w:sz w:val="18"/>
                <w:szCs w:val="18"/>
              </w:rPr>
              <w:t>/ ΕΦ</w:t>
            </w:r>
            <w:r w:rsidR="00C250B4">
              <w:rPr>
                <w:rFonts w:ascii="Tahoma" w:hAnsi="Tahoma" w:cs="Tahoma"/>
                <w:i/>
                <w:sz w:val="18"/>
                <w:szCs w:val="18"/>
              </w:rPr>
              <w:t xml:space="preserve">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w:t>
            </w:r>
            <w:r w:rsidR="00D338FC">
              <w:rPr>
                <w:rFonts w:ascii="Tahoma" w:hAnsi="Tahoma" w:cs="Tahoma"/>
                <w:i/>
                <w:sz w:val="18"/>
                <w:szCs w:val="18"/>
              </w:rPr>
              <w:t>/ΕΦ</w:t>
            </w:r>
            <w:r w:rsidR="00A86AB5">
              <w:rPr>
                <w:rFonts w:ascii="Tahoma" w:hAnsi="Tahoma" w:cs="Tahoma"/>
                <w:i/>
                <w:sz w:val="18"/>
                <w:szCs w:val="18"/>
              </w:rPr>
              <w:t xml:space="preserve">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(Unit Cost) (αα1)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(Lump Sum)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r w:rsidR="00B71936" w:rsidRPr="0021728A">
              <w:rPr>
                <w:rFonts w:ascii="Tahoma" w:hAnsi="Tahoma" w:cs="Tahoma"/>
                <w:i/>
                <w:sz w:val="16"/>
                <w:szCs w:val="16"/>
                <w:lang w:eastAsia="en-US"/>
              </w:rPr>
              <w:t>Ενάριθμος</w:t>
            </w:r>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Pr="00E7051C" w:rsidRDefault="000503D3" w:rsidP="00C030A3">
      <w:pPr>
        <w:pStyle w:val="ae"/>
        <w:spacing w:before="120" w:after="120" w:line="280" w:lineRule="exact"/>
        <w:jc w:val="both"/>
        <w:rPr>
          <w:rFonts w:ascii="Tahoma" w:hAnsi="Tahoma" w:cs="Tahoma"/>
          <w:i/>
          <w:sz w:val="18"/>
          <w:szCs w:val="18"/>
          <w:lang w:eastAsia="en-US"/>
        </w:rPr>
      </w:pPr>
    </w:p>
    <w:p w:rsidR="00A07105" w:rsidRPr="00E7051C" w:rsidRDefault="00A07105" w:rsidP="00C030A3">
      <w:pPr>
        <w:pStyle w:val="ae"/>
        <w:spacing w:before="120" w:after="120" w:line="280" w:lineRule="exact"/>
        <w:jc w:val="both"/>
        <w:rPr>
          <w:rFonts w:ascii="Tahoma" w:hAnsi="Tahoma" w:cs="Tahoma"/>
          <w:i/>
          <w:sz w:val="18"/>
          <w:szCs w:val="18"/>
          <w:lang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Pr="00BD2296">
        <w:rPr>
          <w:rFonts w:ascii="Tahoma" w:hAnsi="Tahoma" w:cs="Tahoma"/>
          <w:sz w:val="18"/>
          <w:szCs w:val="18"/>
          <w:lang w:eastAsia="en-US"/>
        </w:rPr>
        <w:t>,</w:t>
      </w:r>
      <w:r w:rsidR="00780D3C" w:rsidRPr="00BD2296">
        <w:rPr>
          <w:rFonts w:ascii="Tahoma" w:hAnsi="Tahoma" w:cs="Tahoma"/>
          <w:sz w:val="18"/>
          <w:szCs w:val="18"/>
          <w:lang w:eastAsia="en-US"/>
        </w:rPr>
        <w:t xml:space="preserve"> </w:t>
      </w:r>
      <w:r w:rsidR="00E7051C" w:rsidRPr="00BD2296">
        <w:rPr>
          <w:rFonts w:ascii="Tahoma" w:hAnsi="Tahoma" w:cs="Tahoma"/>
          <w:sz w:val="18"/>
          <w:szCs w:val="18"/>
          <w:lang w:eastAsia="en-US"/>
        </w:rPr>
        <w:t xml:space="preserve">το </w:t>
      </w:r>
      <w:r w:rsidRPr="00BD2296">
        <w:rPr>
          <w:rFonts w:ascii="Tahoma" w:hAnsi="Tahoma" w:cs="Tahoma"/>
          <w:sz w:val="18"/>
          <w:szCs w:val="18"/>
          <w:lang w:eastAsia="en-US"/>
        </w:rPr>
        <w:t>οποί</w:t>
      </w:r>
      <w:r w:rsidR="00E7051C" w:rsidRPr="00BD2296">
        <w:rPr>
          <w:rFonts w:ascii="Tahoma" w:hAnsi="Tahoma" w:cs="Tahoma"/>
          <w:sz w:val="18"/>
          <w:szCs w:val="18"/>
          <w:lang w:eastAsia="en-US"/>
        </w:rPr>
        <w:t>ο</w:t>
      </w:r>
      <w:r w:rsidRPr="008949AC">
        <w:rPr>
          <w:rFonts w:ascii="Tahoma" w:hAnsi="Tahoma" w:cs="Tahoma"/>
          <w:sz w:val="18"/>
          <w:szCs w:val="18"/>
          <w:lang w:eastAsia="en-US"/>
        </w:rPr>
        <w:t xml:space="preserve">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00CE1871">
        <w:rPr>
          <w:rFonts w:ascii="Tahoma" w:hAnsi="Tahoma" w:cs="Tahoma"/>
          <w:sz w:val="18"/>
          <w:szCs w:val="18"/>
          <w:lang w:eastAsia="en-US"/>
        </w:rPr>
        <w:t>το</w:t>
      </w:r>
      <w:r w:rsidRPr="008949AC">
        <w:rPr>
          <w:rFonts w:ascii="Tahoma" w:hAnsi="Tahoma" w:cs="Tahoma"/>
          <w:sz w:val="18"/>
          <w:szCs w:val="18"/>
          <w:lang w:eastAsia="en-US"/>
        </w:rPr>
        <w:t xml:space="preserve"> οποί</w:t>
      </w:r>
      <w:r w:rsidR="00CE1871">
        <w:rPr>
          <w:rFonts w:ascii="Tahoma" w:hAnsi="Tahoma" w:cs="Tahoma"/>
          <w:sz w:val="18"/>
          <w:szCs w:val="18"/>
          <w:lang w:eastAsia="en-US"/>
        </w:rPr>
        <w:t>ο</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Pr="00E7051C" w:rsidRDefault="000F3DB1" w:rsidP="0015762A">
      <w:pPr>
        <w:spacing w:before="240" w:after="160"/>
        <w:ind w:left="357"/>
        <w:jc w:val="both"/>
        <w:rPr>
          <w:rFonts w:ascii="Tahoma" w:hAnsi="Tahoma" w:cs="Tahoma"/>
          <w:b/>
          <w:sz w:val="18"/>
          <w:szCs w:val="18"/>
          <w:lang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w:t>
      </w:r>
      <w:r w:rsidR="00D338FC">
        <w:rPr>
          <w:rFonts w:ascii="Tahoma" w:hAnsi="Tahoma" w:cs="Tahoma"/>
          <w:sz w:val="18"/>
          <w:szCs w:val="18"/>
          <w:lang w:eastAsia="en-US"/>
        </w:rPr>
        <w:t>/ ΕΦ</w:t>
      </w:r>
      <w:r w:rsidR="002E7B95" w:rsidRPr="0021728A">
        <w:rPr>
          <w:rFonts w:ascii="Tahoma" w:hAnsi="Tahoma" w:cs="Tahoma"/>
          <w:sz w:val="18"/>
          <w:szCs w:val="18"/>
          <w:lang w:eastAsia="en-US"/>
        </w:rPr>
        <w:t xml:space="preserve">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Pr="00E7051C" w:rsidRDefault="00794EFB" w:rsidP="003A40E3">
      <w:pPr>
        <w:tabs>
          <w:tab w:val="left" w:pos="969"/>
          <w:tab w:val="left" w:pos="1310"/>
        </w:tabs>
        <w:spacing w:before="120" w:after="120" w:line="280" w:lineRule="exact"/>
        <w:rPr>
          <w:rFonts w:ascii="Tahoma" w:hAnsi="Tahoma" w:cs="Tahoma"/>
          <w:b/>
          <w:bCs/>
          <w:sz w:val="18"/>
          <w:szCs w:val="18"/>
          <w:u w:val="single"/>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απεντάσσεται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w:t>
      </w:r>
      <w:r w:rsidR="00D338FC">
        <w:rPr>
          <w:rFonts w:ascii="Tahoma" w:hAnsi="Tahoma" w:cs="Tahoma"/>
        </w:rPr>
        <w:t>/ ΕΦ</w:t>
      </w:r>
      <w:r w:rsidRPr="000503D3">
        <w:rPr>
          <w:rFonts w:ascii="Tahoma" w:hAnsi="Tahoma" w:cs="Tahoma"/>
        </w:rPr>
        <w:t xml:space="preserve">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Υπερβάσεις του χρονοδιαγράμματος υλοποίησης των κύριων υποέργων δύνανται να επιφέρουν την επιτήρηση του δικαιούχου από τη ΔΑ</w:t>
      </w:r>
      <w:r w:rsidR="00D338FC">
        <w:rPr>
          <w:rFonts w:ascii="Tahoma" w:hAnsi="Tahoma" w:cs="Tahoma"/>
        </w:rPr>
        <w:t>/ ΕΦ</w:t>
      </w:r>
      <w:r w:rsidRPr="000503D3">
        <w:rPr>
          <w:rFonts w:ascii="Tahoma" w:hAnsi="Tahoma" w:cs="Tahoma"/>
        </w:rPr>
        <w:t xml:space="preserve">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Για πράξεις που συγχρηματοδοτούνται από το ΕΚΤ/ΠΑΝ για τις οποίες απαιτείται η συλλογή δεδομένων συμμετεχόντων (microdata),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t xml:space="preserve">επικαιροποιημένη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0" w:history="1">
        <w:r w:rsidRPr="000503D3">
          <w:rPr>
            <w:rFonts w:ascii="Tahoma" w:hAnsi="Tahoma" w:cs="Tahoma"/>
            <w:color w:val="0000FF"/>
            <w:u w:val="single"/>
            <w:lang w:val="en-US"/>
          </w:rPr>
          <w:t>www</w:t>
        </w:r>
        <w:r w:rsidRPr="000503D3">
          <w:rPr>
            <w:rFonts w:ascii="Tahoma" w:hAnsi="Tahoma" w:cs="Tahoma"/>
            <w:color w:val="0000FF"/>
            <w:u w:val="single"/>
          </w:rPr>
          <w:t>.</w:t>
        </w:r>
        <w:r w:rsidRPr="000503D3">
          <w:rPr>
            <w:rFonts w:ascii="Tahoma" w:hAnsi="Tahoma" w:cs="Tahoma"/>
            <w:color w:val="0000FF"/>
            <w:u w:val="single"/>
            <w:lang w:val="en-US"/>
          </w:rPr>
          <w:t>espa</w:t>
        </w:r>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w:t>
      </w:r>
      <w:r w:rsidR="00D338FC">
        <w:rPr>
          <w:rFonts w:ascii="Tahoma" w:hAnsi="Tahoma" w:cs="Tahoma"/>
        </w:rPr>
        <w:t>/ ΕΦ</w:t>
      </w:r>
      <w:r w:rsidRPr="000503D3">
        <w:rPr>
          <w:rFonts w:ascii="Tahoma" w:hAnsi="Tahoma" w:cs="Tahoma"/>
        </w:rPr>
        <w:t xml:space="preserve">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F4306A">
      <w:pPr>
        <w:spacing w:before="120" w:after="120" w:line="240" w:lineRule="atLeast"/>
        <w:ind w:left="709" w:right="28"/>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τυχόν ειδικοί όροι που προβλέπονται σε ειδικό θεσμικό πλαίσιο ή και ορίζονται από την αρμόδια ΔΑ</w:t>
      </w:r>
      <w:r w:rsidR="007F2246">
        <w:rPr>
          <w:rFonts w:ascii="Tahoma" w:hAnsi="Tahoma" w:cs="Tahoma"/>
          <w:i/>
        </w:rPr>
        <w:t>/ ΕΦ</w:t>
      </w:r>
      <w:r w:rsidRPr="000503D3">
        <w:rPr>
          <w:rFonts w:ascii="Tahoma" w:hAnsi="Tahoma" w:cs="Tahoma"/>
          <w:i/>
        </w:rPr>
        <w:t xml:space="preserve"> και τους οποίους υποχρεούται να τηρήσει ο δικαιούχος της πράξης</w:t>
      </w:r>
      <w:r w:rsidR="00D76C8F" w:rsidRPr="00D76C8F">
        <w:rPr>
          <w:rFonts w:ascii="Tahoma" w:hAnsi="Tahoma" w:cs="Tahoma"/>
          <w:i/>
        </w:rPr>
        <w:t xml:space="preserve"> </w:t>
      </w:r>
      <w:r w:rsidR="00D76C8F">
        <w:rPr>
          <w:rFonts w:ascii="Tahoma" w:hAnsi="Tahoma" w:cs="Tahoma"/>
          <w:i/>
        </w:rPr>
        <w:t>(πχ συχνότητα υποβολής  δελτίων προόδου ενεργειών ωρίμανσης και υποχρεώσεων πράξης</w:t>
      </w:r>
      <w:r w:rsidR="00BD2296">
        <w:rPr>
          <w:rFonts w:ascii="Tahoma" w:hAnsi="Tahoma" w:cs="Tahoma"/>
          <w:i/>
        </w:rPr>
        <w:t>)</w:t>
      </w:r>
      <w:r w:rsidRPr="000503D3">
        <w:rPr>
          <w:rFonts w:ascii="Tahoma" w:hAnsi="Tahoma" w:cs="Tahoma"/>
          <w:i/>
        </w:rPr>
        <w:t xml:space="preserve">.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w:t>
      </w:r>
      <w:r w:rsidR="00D338FC">
        <w:rPr>
          <w:rFonts w:ascii="Tahoma" w:hAnsi="Tahoma" w:cs="Tahoma"/>
          <w:i/>
        </w:rPr>
        <w:t>/ ΕΦ</w:t>
      </w:r>
      <w:r w:rsidRPr="000503D3">
        <w:rPr>
          <w:rFonts w:ascii="Tahoma" w:hAnsi="Tahoma" w:cs="Tahoma"/>
          <w:i/>
        </w:rPr>
        <w:t xml:space="preserve">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r w:rsidR="00327C58">
        <w:rPr>
          <w:rFonts w:ascii="Tahoma" w:hAnsi="Tahoma" w:cs="Tahoma"/>
          <w:i/>
        </w:rPr>
        <w:t>.</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B17255" w:rsidRPr="000503D3" w:rsidRDefault="00DE0FE1" w:rsidP="00F4306A">
      <w:pPr>
        <w:spacing w:before="120" w:after="120" w:line="280" w:lineRule="atLeast"/>
        <w:ind w:left="777"/>
        <w:jc w:val="both"/>
        <w:rPr>
          <w:rFonts w:ascii="Tahoma" w:hAnsi="Tahoma" w:cs="Tahoma"/>
          <w:b/>
          <w:sz w:val="18"/>
          <w:szCs w:val="18"/>
          <w:lang w:eastAsia="en-US"/>
        </w:rPr>
      </w:pPr>
      <w:r w:rsidRPr="000503D3">
        <w:rPr>
          <w:rFonts w:ascii="Tahoma" w:hAnsi="Tahoma" w:cs="Tahoma"/>
          <w:i/>
        </w:rPr>
        <w:t xml:space="preserve">Εδώ συμπληρώνονται οι Ειδικές Υποχρεώσεις Δικαιούχων Πράξεων ΕΚΤ/ΠΑΝ για τις οποίες απαιτείται η συλλογή δεδομένων μεμονωμένων συμμετεχόντων (microdata) (έντυπο Ε.Ι.1_1ε). </w:t>
      </w:r>
    </w:p>
    <w:sectPr w:rsidR="00B17255" w:rsidRPr="000503D3" w:rsidSect="007C0025">
      <w:headerReference w:type="default" r:id="rId11"/>
      <w:footerReference w:type="even" r:id="rId12"/>
      <w:footerReference w:type="default" r:id="rId13"/>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E32" w:rsidRDefault="005A2E32">
      <w:r>
        <w:separator/>
      </w:r>
    </w:p>
    <w:p w:rsidR="005A2E32" w:rsidRDefault="005A2E32"/>
  </w:endnote>
  <w:endnote w:type="continuationSeparator" w:id="0">
    <w:p w:rsidR="005A2E32" w:rsidRDefault="005A2E32">
      <w:r>
        <w:continuationSeparator/>
      </w:r>
    </w:p>
    <w:p w:rsidR="005A2E32" w:rsidRDefault="005A2E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47" w:type="dxa"/>
      <w:jc w:val="center"/>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00627EC9">
                  <w:rPr>
                    <w:rStyle w:val="ab"/>
                    <w:rFonts w:ascii="Tahoma" w:hAnsi="Tahoma" w:cs="Tahoma"/>
                    <w:sz w:val="16"/>
                    <w:szCs w:val="16"/>
                  </w:rPr>
                  <w:t>4</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966F9C">
                <w:pPr>
                  <w:rPr>
                    <w:rFonts w:ascii="Tahoma" w:hAnsi="Tahoma" w:cs="Tahoma"/>
                    <w:b/>
                  </w:rPr>
                </w:pPr>
                <w:r w:rsidRPr="000C4198">
                  <w:rPr>
                    <w:rStyle w:val="ab"/>
                    <w:rFonts w:ascii="Tahoma" w:hAnsi="Tahoma" w:cs="Tahoma"/>
                    <w:sz w:val="16"/>
                    <w:szCs w:val="16"/>
                  </w:rPr>
                  <w:t>Ημ/νια Έκδοσης:</w:t>
                </w:r>
                <w:r w:rsidR="008272BF">
                  <w:rPr>
                    <w:rStyle w:val="ab"/>
                    <w:rFonts w:ascii="Tahoma" w:hAnsi="Tahoma" w:cs="Tahoma"/>
                    <w:sz w:val="16"/>
                    <w:szCs w:val="16"/>
                  </w:rPr>
                  <w:t>1</w:t>
                </w:r>
                <w:r w:rsidR="00BC79E7">
                  <w:rPr>
                    <w:rStyle w:val="ab"/>
                    <w:rFonts w:ascii="Tahoma" w:hAnsi="Tahoma" w:cs="Tahoma"/>
                    <w:sz w:val="16"/>
                    <w:szCs w:val="16"/>
                  </w:rPr>
                  <w:t>8</w:t>
                </w:r>
                <w:r w:rsidR="00627EC9">
                  <w:rPr>
                    <w:rStyle w:val="ab"/>
                    <w:rFonts w:ascii="Tahoma" w:hAnsi="Tahoma" w:cs="Tahoma"/>
                    <w:sz w:val="16"/>
                    <w:szCs w:val="16"/>
                  </w:rPr>
                  <w:t>.0</w:t>
                </w:r>
                <w:r w:rsidR="008272BF">
                  <w:rPr>
                    <w:rStyle w:val="ab"/>
                    <w:rFonts w:ascii="Tahoma" w:hAnsi="Tahoma" w:cs="Tahoma"/>
                    <w:sz w:val="16"/>
                    <w:szCs w:val="16"/>
                  </w:rPr>
                  <w:t>6</w:t>
                </w:r>
                <w:r w:rsidR="00627EC9">
                  <w:rPr>
                    <w:rStyle w:val="ab"/>
                    <w:rFonts w:ascii="Tahoma" w:hAnsi="Tahoma" w:cs="Tahoma"/>
                    <w:sz w:val="16"/>
                    <w:szCs w:val="16"/>
                  </w:rPr>
                  <w:t>.2021</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7667B7">
                  <w:rPr>
                    <w:rFonts w:ascii="Tahoma" w:hAnsi="Tahoma" w:cs="Tahoma"/>
                    <w:noProof/>
                    <w:sz w:val="16"/>
                    <w:szCs w:val="16"/>
                  </w:rPr>
                  <w:t>4</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68DB98F8" wp14:editId="4B885AF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E32" w:rsidRDefault="005A2E32">
      <w:r>
        <w:separator/>
      </w:r>
    </w:p>
    <w:p w:rsidR="005A2E32" w:rsidRDefault="005A2E32"/>
  </w:footnote>
  <w:footnote w:type="continuationSeparator" w:id="0">
    <w:p w:rsidR="005A2E32" w:rsidRDefault="005A2E32">
      <w:r>
        <w:continuationSeparator/>
      </w:r>
    </w:p>
    <w:p w:rsidR="005A2E32" w:rsidRDefault="005A2E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C8A"/>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5AC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27C58"/>
    <w:rsid w:val="00330246"/>
    <w:rsid w:val="003321CF"/>
    <w:rsid w:val="003333AF"/>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2E32"/>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667B7"/>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DDB"/>
    <w:rsid w:val="008272BF"/>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B38"/>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E1871"/>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76C8F"/>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1739"/>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0D9C023-CF32-45AC-B4FF-2EE601288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sp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1B8F5-DAD5-4878-9FFC-CA9A032C1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4308</Words>
  <Characters>23264</Characters>
  <Application>Microsoft Office Word</Application>
  <DocSecurity>0</DocSecurity>
  <Lines>193</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Δήμητρα Ράπτη</cp:lastModifiedBy>
  <cp:revision>2</cp:revision>
  <cp:lastPrinted>2021-06-11T07:19:00Z</cp:lastPrinted>
  <dcterms:created xsi:type="dcterms:W3CDTF">2022-05-30T14:05:00Z</dcterms:created>
  <dcterms:modified xsi:type="dcterms:W3CDTF">2022-05-30T14:05:00Z</dcterms:modified>
</cp:coreProperties>
</file>